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Psychiatre a commis une faute en prenant la responsabilité d’avoir des relations sexuelles avec une patiente dans la foulée de la relation thérapeutique. Si la seule circonstance qu’il avait formellement mis fin à cette relation thérapeutique lorsque les relations sexuelles ont commencé, cela ne saurait suffire à faire regarder celles-ci comme sans lien avec la relation thérapeutique et de nature purement privée. Le praticien a eu un comportement ambigu lors de la relation thérapeutique. Sa patiente affirme  sans être contredite que le praticien a modifié son comportement à son égard, par exemple en lui servant un café, comportement dont elle indique qu’il la troublait. Aucun élément du dossier ne vient corroborer les dires du praticien qui a laissé entendre qu’en mai 2012, lorsqu’il a arrêté le traitement thérapeutique, sa patiente devait être regardée comme ne nécessitant plus de suivi thérapeutique, ce qui le dispensait par ailleurs de l’orienter vers un autre thérapeute. Il ressort, au contraire, que désorientée par son comportement, la patiente a recherché dès la fin de l’année 2011 un autre thérapeute et qu’elle présentait toujours en 2012 la même fragilité psychologique. De plus, le fait que le praticien prétend qu’il n’aurait fait qu’ « accepter » ces relations et qu'elles n’auraient revêtu aucune dimension sentimentale, ou encore qu’il n’aurait ressenti aucun véritable attrait pour sa patiente ne sont pas de nature à l’exonérer de ses responsabilités ou à les atténuer et ne font que ressortir le cynisme de son comportement et le caractère déséquilibré des relations entre les deux partenaires.</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sidR="00681D64">
        <w:rPr>
          <w:rFonts w:ascii="Arial" w:cs="Arial" w:hAnsi="Arial"/>
          <w:caps/>
          <w:color w:val="00A7AD"/>
          <w:sz w:val="22"/>
          <w:szCs w:val="22"/>
        </w:rPr>
        <w:br/>
      </w:r>
      <w:r w:rsidRPr="00A84153">
        <w:rPr>
          <w:rFonts w:ascii="Arial" w:cs="Arial" w:hAnsi="Arial"/>
          <w:caps/>
          <w:color w:val="00A7AD"/>
          <w:sz w:val="22"/>
          <w:szCs w:val="22"/>
        </w:rPr>
        <w:t xml:space="preserve">article code santé publique (déontologie) : </w:t>
      </w:r>
      <w:r w:rsidRPr="00A84153">
        <w:rPr>
          <w:rFonts w:ascii="Arial" w:cs="Arial" w:hAnsi="Arial"/>
          <w:color w:themeColor="text1" w:val="000000"/>
          <w:sz w:val="22"/>
          <w:szCs w:val="22"/>
        </w:rPr>
        <w:instrText>2,3,31,51</w:instrText>
      </w:r>
      <w:r w:rsidRPr="00A84153">
        <w:rPr>
          <w:rFonts w:ascii="Arial" w:cs="Arial" w:hAnsi="Arial"/>
          <w:caps/>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18/12/2017</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13147</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Réformation</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6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Bretagne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21/03/2016</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Avertissement</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p>
    <w:p w:rsidP="00524F8D" w:rsidR="00976AAA" w:rsidRDefault="00E75A0D">
      <w:pPr>
        <w:pStyle w:val="Paragraphestandard"/>
        <w:keepNext/>
        <w:keepLines/>
        <w:tabs>
          <w:tab w:pos="850" w:val="left"/>
        </w:tabs>
        <w:spacing w:after="40" w:line="240" w:lineRule="auto"/>
        <w:rPr>
          <w:rFonts w:ascii="Arial" w:cs="Arial" w:hAnsi="Arial"/>
          <w:sz w:val="22"/>
          <w:szCs w:val="22"/>
        </w:rPr>
      </w:pPr>
      <w:r w:rsidRPr="00B91517">
        <w:rPr>
          <w:rFonts w:ascii="Arial" w:cs="Arial" w:hAnsi="Arial"/>
          <w:caps/>
          <w:color w:val="004377"/>
          <w:sz w:val="22"/>
          <w:szCs w:val="22"/>
          <w:u w:val="single"/>
        </w:rPr>
        <w:t>Recours :</w:t>
      </w:r>
      <w:r w:rsidR="008D48C9" w:rsidRPr="008D48C9">
        <w:rPr>
          <w:rFonts w:ascii="Arial" w:cs="Arial" w:hAnsi="Arial"/>
          <w:caps/>
          <w:color w:val="00A7AD"/>
          <w:sz w:val="22"/>
          <w:szCs w:val="22"/>
        </w:rPr>
        <w:t xml:space="preserve"> </w:t>
      </w:r>
      <w:r w:rsidR="008D48C9" w:rsidRPr="00A84153">
        <w:rPr>
          <w:rFonts w:ascii="Arial" w:cs="Arial" w:hAnsi="Arial"/>
          <w:color w:val="00A7AD"/>
          <w:sz w:val="22"/>
          <w:szCs w:val="22"/>
        </w:rPr>
        <w:instrText/>
      </w:r>
      <w:r w:rsidR="008D48C9">
        <w:rPr>
          <w:rFonts w:ascii="Arial" w:cs="Arial" w:hAnsi="Arial"/>
          <w:caps/>
          <w:color w:val="00A7AD"/>
          <w:sz w:val="22"/>
          <w:szCs w:val="22"/>
        </w:rPr>
        <w:br/>
        <w:t xml:space="preserve">INSTANCE DE recours : </w:t>
      </w:r>
      <w:r w:rsidR="008D48C9" w:rsidRPr="00A84153">
        <w:rPr>
          <w:rFonts w:ascii="Arial" w:cs="Arial" w:hAnsi="Arial"/>
          <w:color w:themeColor="text1" w:val="000000"/>
          <w:sz w:val="22"/>
          <w:szCs w:val="20"/>
        </w:rPr>
        <w:instrText>Conseil d'Etat</w:instrText>
      </w:r>
      <w:r w:rsidR="008D48C9" w:rsidRPr="00A84153">
        <w:rPr>
          <w:rFonts w:ascii="Arial" w:cs="Arial" w:hAnsi="Arial"/>
          <w:caps/>
          <w:color w:val="00A7AD"/>
          <w:sz w:val="22"/>
          <w:szCs w:val="22"/>
        </w:rPr>
        <w:instrText xml:space="preserve"/>
      </w:r>
      <w:r w:rsidR="003C131B" w:rsidRPr="00A84153">
        <w:rPr>
          <w:rFonts w:ascii="Arial" w:cs="Arial" w:hAnsi="Arial"/>
          <w:color w:val="00A7AD"/>
          <w:sz w:val="22"/>
          <w:szCs w:val="22"/>
        </w:rPr>
        <w:instrText/>
      </w:r>
      <w:r w:rsidR="003C131B">
        <w:rPr>
          <w:rFonts w:ascii="Arial" w:cs="Arial" w:hAnsi="Arial"/>
          <w:caps/>
          <w:color w:val="00A7AD"/>
          <w:sz w:val="22"/>
          <w:szCs w:val="22"/>
        </w:rPr>
        <w:br/>
        <w:t xml:space="preserve">Existence d’un recours : </w:t>
      </w:r>
      <w:r w:rsidR="003C131B" w:rsidRPr="00D8536E">
        <w:rPr>
          <w:rFonts w:ascii="Arial" w:cs="Arial" w:hAnsi="Arial"/>
          <w:color w:val="auto"/>
          <w:sz w:val="22"/>
          <w:szCs w:val="22"/>
        </w:rPr>
        <w:t>Oui</w:t>
      </w:r>
      <w:r w:rsidR="003C131B" w:rsidRPr="00A84153">
        <w:rPr>
          <w:rFonts w:ascii="Arial" w:cs="Arial" w:hAnsi="Arial"/>
          <w:caps/>
          <w:color w:val="00A7AD"/>
          <w:sz w:val="22"/>
          <w:szCs w:val="22"/>
        </w:rPr>
        <w:instrText xml:space="preserve"/>
      </w:r>
      <w:r w:rsidR="00826FA5" w:rsidRPr="00A84153">
        <w:rPr>
          <w:rFonts w:ascii="Arial" w:cs="Arial" w:hAnsi="Arial"/>
          <w:color w:val="00A7AD"/>
          <w:sz w:val="22"/>
          <w:szCs w:val="22"/>
        </w:rPr>
        <w:instrText/>
      </w:r>
      <w:r w:rsidR="00826FA5">
        <w:rPr>
          <w:rFonts w:ascii="Arial" w:cs="Arial" w:hAnsi="Arial"/>
          <w:caps/>
          <w:color w:val="00A7AD"/>
          <w:sz w:val="22"/>
          <w:szCs w:val="22"/>
        </w:rPr>
        <w:br/>
        <w:t xml:space="preserve">Date de décision : </w:t>
      </w:r>
      <w:r w:rsidR="00826FA5" w:rsidRPr="00A84153">
        <w:rPr>
          <w:rFonts w:ascii="Arial" w:cs="Arial" w:hAnsi="Arial"/>
          <w:color w:themeColor="text1" w:val="000000"/>
          <w:sz w:val="22"/>
          <w:szCs w:val="20"/>
        </w:rPr>
        <w:instrText>18/07/2018</w:instrText>
      </w:r>
      <w:r w:rsidR="00826FA5"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042AA6">
        <w:rPr>
          <w:rFonts w:ascii="Arial" w:cs="Arial" w:hAnsi="Arial"/>
          <w:caps/>
          <w:color w:val="00A7AD"/>
          <w:sz w:val="22"/>
          <w:szCs w:val="22"/>
        </w:rPr>
        <w:br/>
      </w:r>
      <w:r>
        <w:rPr>
          <w:rFonts w:ascii="Arial" w:cs="Arial" w:hAnsi="Arial"/>
          <w:caps/>
          <w:color w:val="00A7AD"/>
          <w:sz w:val="22"/>
          <w:szCs w:val="22"/>
        </w:rPr>
        <w:t xml:space="preserve">Sort du recours : </w:t>
      </w:r>
      <w:r w:rsidRPr="00A84153">
        <w:rPr>
          <w:rFonts w:ascii="Arial" w:cs="Arial" w:hAnsi="Arial"/>
          <w:color w:themeColor="text1" w:val="000000"/>
          <w:sz w:val="22"/>
          <w:szCs w:val="20"/>
        </w:rPr>
        <w:instrText>Non admis</w:instrText>
      </w:r>
      <w:r w:rsidRPr="00A84153">
        <w:rPr>
          <w:rFonts w:ascii="Arial" w:cs="Arial" w:hAnsi="Arial"/>
          <w:caps/>
          <w:color w:val="00A7AD"/>
          <w:sz w:val="22"/>
          <w:szCs w:val="22"/>
        </w:rPr>
        <w:instrText xml:space="preserve"/>
      </w:r>
      <w:r w:rsidR="000C05FC" w:rsidRPr="00A84153">
        <w:rPr>
          <w:rFonts w:ascii="Arial" w:cs="Arial" w:hAnsi="Arial"/>
          <w:color w:val="00A7AD"/>
          <w:sz w:val="22"/>
          <w:szCs w:val="22"/>
        </w:rPr>
        <w:instrText/>
      </w:r>
      <w:r w:rsidR="000C05FC">
        <w:rPr>
          <w:rFonts w:ascii="Arial" w:cs="Arial" w:hAnsi="Arial"/>
          <w:caps/>
          <w:color w:val="00A7AD"/>
          <w:sz w:val="22"/>
          <w:szCs w:val="22"/>
        </w:rPr>
        <w:br/>
        <w:t xml:space="preserve">Commentaires sur le recours : </w:t>
      </w:r>
      <w:r w:rsidR="000C05FC" w:rsidRPr="00A84153">
        <w:rPr>
          <w:rFonts w:ascii="Arial" w:cs="Arial" w:hAnsi="Arial"/>
          <w:color w:themeColor="text1" w:val="000000"/>
          <w:sz w:val="22"/>
          <w:szCs w:val="20"/>
        </w:rPr>
        <w:instrText>N°418561</w:instrText>
      </w:r>
      <w:r w:rsidR="000C05FC" w:rsidRPr="00A84153">
        <w:rPr>
          <w:rFonts w:ascii="Arial" w:cs="Arial" w:hAnsi="Arial"/>
          <w:caps/>
          <w:color w:val="00A7AD"/>
          <w:sz w:val="22"/>
          <w:szCs w:val="22"/>
        </w:rPr>
        <w:instrText xml:space="preserve"/>
      </w:r>
      <w:r>
        <w:rPr>
          <w:rFonts w:ascii="Arial" w:cs="Arial" w:hAnsi="Arial"/>
          <w:color w:val="auto"/>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