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Décision : Contenu - Rédaction</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Motivation - Fondement</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Preuve</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p>
    <w:p w:rsidP="003D62DE" w:rsidR="001E6747" w:rsidRDefault="003D62DE" w:rsidRPr="0039391F">
      <w:pPr>
        <w:pStyle w:val="Paragraphestandard"/>
        <w:keepNext/>
        <w:keepLines/>
        <w:numPr>
          <w:ilvl w:val="4"/>
          <w:numId w:val="29"/>
        </w:numPr>
        <w:tabs>
          <w:tab w:pos="850" w:val="left"/>
        </w:tabs>
        <w:spacing w:line="240" w:lineRule="auto"/>
        <w:rPr>
          <w:rFonts w:ascii="Arial" w:cs="Arial" w:hAnsi="Arial"/>
          <w:sz w:val="22"/>
          <w:szCs w:val="22"/>
        </w:rPr>
      </w:pPr>
      <w:r w:rsidRPr="003D62DE">
        <w:rPr>
          <w:rFonts w:ascii="Arial" w:cs="Arial" w:hAnsi="Arial"/>
          <w:sz w:val="22"/>
          <w:szCs w:val="22"/>
        </w:rPr>
        <w:instrText xml:space="preserve">Bénéfice du doute - Intime conviction</w:instrText>
      </w:r>
      <w:r w:rsidRPr="003D62DE">
        <w:rPr>
          <w:rFonts w:ascii="Arial" w:cs="Arial" w:hAnsi="Arial"/>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aurait eu, au cours de la prise en charge en ambulatoire de sa patiente suivie pour des troubles obsessionnels compulsifs, des gestes à connotation sexuelle, lui demandant notamment de retirer son teeshirt et sa culotte, lui proposant un massage du dos puis lui palpant les seins et pinçant ses mamelons pour vérifier que le traitement prescrit ne provoquait pas d’écoulement laiteux. Si les explications données par le praticien sur la nécessité de ses gestes ne sont ni claires, ni cohérentes et s’il a soit varié dans ses déclarations quant à la description de ses gestes concernant le dos et la poitrine de sa patiente, soit a déclaré ne plus se souvenir, la patiente n’a jamais varié dans ses déclarations précises et concordantes faites devant les instances ordinales et pénales et qui  présentent un degré de vraisemblance élevé, de nature à permettre de considérer que la preuve des manquements dénoncés - soumise au principe de la libre appréciation de la valeur probante des éléments produits - peut être tenue pour établie. Praticien a donc manqué à ses devoirs de respect de la dignité de la personne et de moralité (R. 4127-2 et R. 4127-3 du CSP) en ayant eu des actes de nature à déconsidérer la profession au sens de l'article R. 4127-31 du CSP.</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2,3,31</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19/07/2019</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12290</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Annulation</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1 an(s)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M. le président du conseil départemental de l'ordre des médecins de la Haute-Savoie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24/03/2014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Rejet de la plainte</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Rejet de la plainte au fond</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