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Procédure - Décision : Contenu - Rédaction</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Amende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DI - Compétence - Objet - Recevabilité</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p>
    <w:p w:rsidP="003D62DE" w:rsidR="003D62DE" w:rsidRDefault="003D62DE" w:rsidRPr="003D62DE">
      <w:pPr>
        <w:keepNext/>
        <w:keepLines/>
        <w:widowControl w:val="0"/>
        <w:numPr>
          <w:ilvl w:val="3"/>
          <w:numId w:val="29"/>
        </w:numPr>
        <w:tabs>
          <w:tab w:pos="850" w:val="left"/>
        </w:tabs>
        <w:autoSpaceDE w:val="0"/>
        <w:autoSpaceDN w:val="0"/>
        <w:adjustRightInd w:val="0"/>
        <w:textAlignment w:val="center"/>
        <w:rPr>
          <w:rFonts w:ascii="Arial" w:cs="Arial" w:hAnsi="Arial"/>
          <w:color w:val="000000"/>
          <w:sz w:val="22"/>
          <w:szCs w:val="22"/>
        </w:rPr>
      </w:pPr>
      <w:r w:rsidRPr="003D62DE">
        <w:rPr>
          <w:rFonts w:ascii="Arial" w:cs="Arial" w:hAnsi="Arial"/>
          <w:color w:val="000000"/>
          <w:sz w:val="22"/>
          <w:szCs w:val="22"/>
        </w:rPr>
        <w:instrText xml:space="preserve">Pour procédure abusive</w:instrText>
      </w:r>
      <w:r w:rsidRPr="003D62DE">
        <w:rPr>
          <w:rFonts w:ascii="Arial" w:cs="Arial" w:hAnsi="Arial"/>
          <w:color w:val="000000"/>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Motivation - Fondement</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p>
    <w:p w:rsidP="003D62DE" w:rsidR="003D62DE" w:rsidRDefault="003D62DE" w:rsidRPr="003D62DE">
      <w:pPr>
        <w:keepNext/>
        <w:keepLines/>
        <w:widowControl w:val="0"/>
        <w:numPr>
          <w:ilvl w:val="3"/>
          <w:numId w:val="29"/>
        </w:numPr>
        <w:tabs>
          <w:tab w:pos="850" w:val="left"/>
        </w:tabs>
        <w:autoSpaceDE w:val="0"/>
        <w:autoSpaceDN w:val="0"/>
        <w:adjustRightInd w:val="0"/>
        <w:textAlignment w:val="center"/>
        <w:rPr>
          <w:rFonts w:ascii="Arial" w:cs="Arial" w:hAnsi="Arial"/>
          <w:color w:val="000000"/>
          <w:sz w:val="22"/>
          <w:szCs w:val="22"/>
        </w:rPr>
      </w:pPr>
      <w:r w:rsidRPr="003D62DE">
        <w:rPr>
          <w:rFonts w:ascii="Arial" w:cs="Arial" w:hAnsi="Arial"/>
          <w:color w:val="000000"/>
          <w:sz w:val="22"/>
          <w:szCs w:val="22"/>
        </w:rPr>
        <w:instrText xml:space="preserve">Preuve</w:instrText>
      </w:r>
      <w:r w:rsidRPr="003D62DE">
        <w:rPr>
          <w:rFonts w:ascii="Arial" w:cs="Arial" w:hAnsi="Arial"/>
          <w:color w:val="000000"/>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p>
    <w:p w:rsidP="003D62DE" w:rsidR="001E6747" w:rsidRDefault="003D62DE" w:rsidRPr="0039391F">
      <w:pPr>
        <w:pStyle w:val="Paragraphestandard"/>
        <w:keepNext/>
        <w:keepLines/>
        <w:numPr>
          <w:ilvl w:val="4"/>
          <w:numId w:val="29"/>
        </w:numPr>
        <w:tabs>
          <w:tab w:pos="850" w:val="left"/>
        </w:tabs>
        <w:spacing w:line="240" w:lineRule="auto"/>
        <w:rPr>
          <w:rFonts w:ascii="Arial" w:cs="Arial" w:hAnsi="Arial"/>
          <w:sz w:val="22"/>
          <w:szCs w:val="22"/>
        </w:rPr>
      </w:pPr>
      <w:r w:rsidRPr="003D62DE">
        <w:rPr>
          <w:rFonts w:ascii="Arial" w:cs="Arial" w:hAnsi="Arial"/>
          <w:sz w:val="22"/>
          <w:szCs w:val="22"/>
        </w:rPr>
        <w:instrText xml:space="preserve">Charge de la preuve</w:instrText>
      </w:r>
      <w:r w:rsidRPr="003D62DE">
        <w:rPr>
          <w:rFonts w:ascii="Arial" w:cs="Arial" w:hAnsi="Arial"/>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Plainte d’une patiente contre un psychiatre pour lui avoir fait subir des viols répétés au cours d’une période pendant laquelle elle le consultait pour des séquelles psychiques résultant d’un viol par son frère aîné alors qu’elle était âgée de neuf ans.</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La requérante ne fournit aucune pièce de nature à établir qu’elle aurait fait l’objet, de la part du praticien, d’une prise en charge médicale, dont l’existence n’est pas admise par ce dernier. L’attestation qu’elle fournit selon laquelle une amie l’aurait recueillie chez elle, alors qu’elle était en état de choc à la suite d’une consultation, ne revêt pas un caractère suffisamment précis, ni probant, pour venir étayer ses accusations. Les autres attestations produites par la plaignante ne comportent ni la mention des violences qu’elle a dénoncées, ni la mention, a fortiori, la description, d’un traumatisme résultant des viols allégués. Le dossier ne fait ressortir aucune prise en charge médicale qu’auraient occasionnés les faits dénoncés. Selon ses dires, consignés dans le procès-verbal d’audition par les services de police, elle n’aurait manifesté, d’aucune sorte, un refus des actes sexuels reprochés et aurait continué de consulter le praticien en dépit des violences qu’il lui aurait fait subir. Enfin, aucune juridiction, ni autorité, pénale, n’a reconnu le praticien coupable des faits reprochés. La matérialité des viols invoqués par la patiente à l’appui de sa plainte disciplinaire, plainte formée près de 40 ans après la réalisation alléguée desdits faits, ne peut donc être regardée comme établie. </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Le prononcé d’une amende pour recours abusif étant un pouvoir propre du juge, les conclusions du praticien tendant à un tel prononcé sont irrecevables et doivent être rejetées, d’autant que l’appel formé par la patiente ne présente pas un caractère abusif.</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31/03/2017</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13016</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Rejet</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Rejet de la plainte</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p>
    <w:p w:rsidP="00D87C3A" w:rsidR="001E6747" w:rsidRDefault="00D87C3A" w:rsidRPr="00137EEC">
      <w:pPr>
        <w:pStyle w:val="Paragraphestandard"/>
        <w:keepNext/>
        <w:keepLines/>
        <w:tabs>
          <w:tab w:pos="850" w:val="left"/>
        </w:tabs>
        <w:spacing w:line="240" w:lineRule="auto"/>
        <w:rPr>
          <w:rFonts w:ascii="Arial" w:cs="Arial" w:hAnsi="Arial"/>
          <w:sz w:val="22"/>
          <w:szCs w:val="22"/>
        </w:rPr>
      </w:pPr>
      <w:r>
        <w:rPr>
          <w:rFonts w:ascii="Arial" w:cs="Arial" w:hAnsi="Arial"/>
          <w:caps/>
          <w:color w:val="00A7AD"/>
          <w:sz w:val="22"/>
          <w:szCs w:val="22"/>
        </w:rPr>
        <w:t xml:space="preserve">PRECISION DU DISPOSITIF </w:t>
      </w:r>
      <w:r w:rsidRPr="00137EEC">
        <w:rPr>
          <w:rFonts w:ascii="Arial" w:cs="Arial" w:hAnsi="Arial"/>
          <w:caps/>
          <w:color w:val="00A7AD"/>
          <w:sz w:val="22"/>
          <w:szCs w:val="22"/>
        </w:rPr>
        <w:t xml:space="preserve">: </w:t>
      </w:r>
      <w:r w:rsidRPr="00137EEC">
        <w:rPr>
          <w:rFonts w:ascii="Arial" w:cs="Arial" w:hAnsi="Arial"/>
          <w:color w:themeColor="text1" w:val="000000"/>
          <w:sz w:val="22"/>
          <w:szCs w:val="22"/>
        </w:rPr>
        <w:instrText>Rejet de la requête, Rejet de la plainte au fond</w:instrText>
      </w:r>
      <w:r w:rsidRPr="00137EEC">
        <w:rPr>
          <w:rFonts w:ascii="Arial" w:cs="Arial" w:hAnsi="Arial"/>
          <w:caps/>
          <w:color w:val="00A7AD"/>
          <w:sz w:val="22"/>
          <w:szCs w:val="22"/>
        </w:rPr>
        <w:instrText xml:space="preserve"/>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Partie dans l'affaire</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Conseil départemental de l'Eure de l'ordre des médecins</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02/12/2015</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Rejet de la plainte</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